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D7" w:rsidRDefault="00E81BEA" w:rsidP="00671FD7">
      <w:pPr>
        <w:spacing w:after="5" w:line="249" w:lineRule="auto"/>
        <w:ind w:left="521" w:right="1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GUÍA</w:t>
      </w:r>
      <w:r w:rsidR="00671FD7" w:rsidRPr="00671FD7">
        <w:rPr>
          <w:rFonts w:ascii="Arial" w:eastAsia="Arial" w:hAnsi="Arial" w:cs="Arial"/>
          <w:b/>
          <w:sz w:val="32"/>
          <w:szCs w:val="32"/>
        </w:rPr>
        <w:t xml:space="preserve"> PARA</w:t>
      </w:r>
      <w:r w:rsidR="00671FD7" w:rsidRPr="00671FD7"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  <w:r w:rsidR="00671FD7" w:rsidRPr="00671FD7">
        <w:rPr>
          <w:rFonts w:ascii="Arial" w:eastAsia="Arial" w:hAnsi="Arial" w:cs="Arial"/>
          <w:b/>
          <w:sz w:val="32"/>
          <w:szCs w:val="32"/>
        </w:rPr>
        <w:t>EFECTUAR LA DIFUSIÓN DE</w:t>
      </w:r>
      <w:r w:rsidR="00A70DF4">
        <w:rPr>
          <w:rFonts w:ascii="Arial" w:eastAsia="Arial" w:hAnsi="Arial" w:cs="Arial"/>
          <w:b/>
          <w:sz w:val="32"/>
          <w:szCs w:val="32"/>
        </w:rPr>
        <w:t xml:space="preserve">L PROYECTO Y </w:t>
      </w:r>
      <w:r w:rsidR="00671FD7" w:rsidRPr="00671FD7">
        <w:rPr>
          <w:rFonts w:ascii="Arial" w:eastAsia="Arial" w:hAnsi="Arial" w:cs="Arial"/>
          <w:b/>
          <w:sz w:val="32"/>
          <w:szCs w:val="32"/>
        </w:rPr>
        <w:t>L</w:t>
      </w:r>
      <w:r w:rsidR="00A70DF4">
        <w:rPr>
          <w:rFonts w:ascii="Arial" w:eastAsia="Arial" w:hAnsi="Arial" w:cs="Arial"/>
          <w:b/>
          <w:sz w:val="32"/>
          <w:szCs w:val="32"/>
        </w:rPr>
        <w:t>AS ACTIVIDADES DE CONTRALORÍA SOCIAL</w:t>
      </w:r>
    </w:p>
    <w:p w:rsidR="00A70DF4" w:rsidRPr="00671FD7" w:rsidRDefault="00A70DF4" w:rsidP="00671FD7">
      <w:pPr>
        <w:spacing w:after="5" w:line="249" w:lineRule="auto"/>
        <w:ind w:left="521" w:right="15"/>
        <w:jc w:val="center"/>
        <w:rPr>
          <w:sz w:val="32"/>
          <w:szCs w:val="32"/>
        </w:rPr>
      </w:pPr>
    </w:p>
    <w:p w:rsidR="00671FD7" w:rsidRDefault="00671FD7" w:rsidP="00671FD7">
      <w:pPr>
        <w:spacing w:after="0" w:line="259" w:lineRule="auto"/>
        <w:ind w:left="709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671FD7" w:rsidRPr="00671FD7" w:rsidRDefault="000F043B" w:rsidP="00671FD7">
      <w:pPr>
        <w:pStyle w:val="Prrafodelista"/>
        <w:numPr>
          <w:ilvl w:val="0"/>
          <w:numId w:val="18"/>
        </w:numPr>
        <w:spacing w:after="0" w:line="259" w:lineRule="auto"/>
        <w:ind w:left="426" w:hanging="426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 QUIENES DIRIGIR </w:t>
      </w:r>
      <w:r w:rsidR="00671FD7" w:rsidRPr="00671FD7">
        <w:rPr>
          <w:rFonts w:ascii="Arial" w:eastAsia="Arial" w:hAnsi="Arial" w:cs="Arial"/>
          <w:b/>
          <w:sz w:val="26"/>
          <w:szCs w:val="26"/>
        </w:rPr>
        <w:t>LA DIFUSIÓN</w:t>
      </w:r>
    </w:p>
    <w:p w:rsidR="00671FD7" w:rsidRPr="00671FD7" w:rsidRDefault="00671FD7" w:rsidP="00671FD7">
      <w:pPr>
        <w:spacing w:after="0" w:line="259" w:lineRule="auto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671FD7" w:rsidRPr="00671FD7" w:rsidRDefault="00671FD7" w:rsidP="00671FD7">
      <w:pPr>
        <w:numPr>
          <w:ilvl w:val="0"/>
          <w:numId w:val="19"/>
        </w:numPr>
        <w:spacing w:after="11" w:line="248" w:lineRule="auto"/>
        <w:ind w:left="567" w:right="218" w:hanging="283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 DIFUSIÓN DIRECTA A LA COMUNIDAD</w:t>
      </w:r>
    </w:p>
    <w:p w:rsidR="00671FD7" w:rsidRPr="00671FD7" w:rsidRDefault="00671FD7" w:rsidP="00671FD7">
      <w:pPr>
        <w:spacing w:after="0" w:line="259" w:lineRule="auto"/>
        <w:ind w:left="526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 </w:t>
      </w: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Es la labor de acercamiento y sensibilización que realiza el Instituto Estatal de Cultura con la población, con las autoridades locales y con las personas que se interesen en participar</w:t>
      </w:r>
      <w:r w:rsidR="00321B1D">
        <w:rPr>
          <w:rFonts w:ascii="Arial" w:hAnsi="Arial" w:cs="Arial"/>
          <w:sz w:val="26"/>
          <w:szCs w:val="26"/>
        </w:rPr>
        <w:t xml:space="preserve"> en las actividades de contraloría social</w:t>
      </w:r>
      <w:r w:rsidRPr="00671FD7">
        <w:rPr>
          <w:rFonts w:ascii="Arial" w:hAnsi="Arial" w:cs="Arial"/>
          <w:sz w:val="26"/>
          <w:szCs w:val="26"/>
        </w:rPr>
        <w:t xml:space="preserve">, </w:t>
      </w:r>
      <w:r w:rsidR="00321B1D">
        <w:rPr>
          <w:rFonts w:ascii="Arial" w:hAnsi="Arial" w:cs="Arial"/>
          <w:sz w:val="26"/>
          <w:szCs w:val="26"/>
        </w:rPr>
        <w:t>el propósito</w:t>
      </w:r>
      <w:r w:rsidRPr="00671FD7">
        <w:rPr>
          <w:rFonts w:ascii="Arial" w:hAnsi="Arial" w:cs="Arial"/>
          <w:sz w:val="26"/>
          <w:szCs w:val="26"/>
        </w:rPr>
        <w:t xml:space="preserve"> es informar las características del Proyecto que será sujeto de Contraloría Social, </w:t>
      </w:r>
      <w:r w:rsidR="00FD0BFD">
        <w:rPr>
          <w:rFonts w:ascii="Arial" w:hAnsi="Arial" w:cs="Arial"/>
          <w:sz w:val="26"/>
          <w:szCs w:val="26"/>
        </w:rPr>
        <w:t>dicha labor</w:t>
      </w:r>
      <w:r w:rsidRPr="00671FD7">
        <w:rPr>
          <w:rFonts w:ascii="Arial" w:hAnsi="Arial" w:cs="Arial"/>
          <w:sz w:val="26"/>
          <w:szCs w:val="26"/>
        </w:rPr>
        <w:t xml:space="preserve"> podrá realizarse a través de los siguientes medios: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284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Por carteles, periódicos murales y equipos de sonido. 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284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Por visitas a las autoridades de la comunidad.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284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Por visitas a los líderes y personajes clave de la comunidad. 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284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Por convocatoria a reuniones de información.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284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Por medios electrónicos</w:t>
      </w:r>
      <w:r w:rsidR="00321B1D">
        <w:rPr>
          <w:rFonts w:ascii="Arial" w:hAnsi="Arial" w:cs="Arial"/>
          <w:sz w:val="26"/>
          <w:szCs w:val="26"/>
        </w:rPr>
        <w:t xml:space="preserve"> (Página Web)</w:t>
      </w:r>
    </w:p>
    <w:p w:rsidR="00671FD7" w:rsidRPr="00671FD7" w:rsidRDefault="00671FD7" w:rsidP="00671FD7">
      <w:pPr>
        <w:spacing w:after="0" w:line="259" w:lineRule="auto"/>
        <w:ind w:left="526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 </w:t>
      </w:r>
    </w:p>
    <w:p w:rsidR="00671FD7" w:rsidRPr="00671FD7" w:rsidRDefault="00671FD7" w:rsidP="00671FD7">
      <w:pPr>
        <w:numPr>
          <w:ilvl w:val="0"/>
          <w:numId w:val="19"/>
        </w:numPr>
        <w:spacing w:after="11" w:line="248" w:lineRule="auto"/>
        <w:ind w:left="567" w:right="218" w:hanging="283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 DIFUSIÓN A TRAVÉS DE INSTITUCIONES DEL SECTOR PÚBLICO, SOCIAL O PRIVADO:  </w:t>
      </w:r>
    </w:p>
    <w:p w:rsidR="00671FD7" w:rsidRPr="00671FD7" w:rsidRDefault="00671FD7" w:rsidP="00671FD7">
      <w:pPr>
        <w:spacing w:after="0" w:line="259" w:lineRule="auto"/>
        <w:ind w:left="526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Esta modalidad refiere a la </w:t>
      </w:r>
      <w:r w:rsidR="00FD0BFD">
        <w:rPr>
          <w:rFonts w:ascii="Arial" w:hAnsi="Arial" w:cs="Arial"/>
          <w:sz w:val="26"/>
          <w:szCs w:val="26"/>
        </w:rPr>
        <w:t>coordinación con</w:t>
      </w:r>
      <w:r w:rsidRPr="00671FD7">
        <w:rPr>
          <w:rFonts w:ascii="Arial" w:hAnsi="Arial" w:cs="Arial"/>
          <w:sz w:val="26"/>
          <w:szCs w:val="26"/>
        </w:rPr>
        <w:t xml:space="preserve"> instituciones del sector público, social o privado como: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425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Autoridades locales o municipales interesadas en dar a conocer el Proyecto entre la población.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425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Líderes y personajes clave de la comunidad que, al igual que las autoridades, deciden </w:t>
      </w:r>
      <w:r w:rsidR="00FD0BFD">
        <w:rPr>
          <w:rFonts w:ascii="Arial" w:hAnsi="Arial" w:cs="Arial"/>
          <w:sz w:val="26"/>
          <w:szCs w:val="26"/>
        </w:rPr>
        <w:t>darle</w:t>
      </w:r>
      <w:r w:rsidRPr="00671FD7">
        <w:rPr>
          <w:rFonts w:ascii="Arial" w:hAnsi="Arial" w:cs="Arial"/>
          <w:sz w:val="26"/>
          <w:szCs w:val="26"/>
        </w:rPr>
        <w:t xml:space="preserve"> difusión.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left="993" w:right="218" w:hanging="425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Otras instancias de gobierno, organizaciones e instituciones del sector social y privado.</w:t>
      </w:r>
    </w:p>
    <w:p w:rsidR="00671FD7" w:rsidRPr="00671FD7" w:rsidRDefault="00671FD7" w:rsidP="00671FD7">
      <w:pPr>
        <w:spacing w:after="0"/>
        <w:ind w:right="215"/>
        <w:jc w:val="both"/>
        <w:rPr>
          <w:rFonts w:ascii="Arial" w:hAnsi="Arial" w:cs="Arial"/>
          <w:sz w:val="26"/>
          <w:szCs w:val="26"/>
        </w:rPr>
      </w:pPr>
    </w:p>
    <w:p w:rsidR="00671FD7" w:rsidRPr="00671FD7" w:rsidRDefault="00671FD7" w:rsidP="00671FD7">
      <w:pPr>
        <w:spacing w:after="266"/>
        <w:ind w:right="218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 xml:space="preserve">Es importante tener en cuenta a los beneficiarios al momento de establecer compromisos institucionales para la difusión de la Contraloría Social, ya que en su calidad de ciudadanos tienen derecho a conocer </w:t>
      </w:r>
      <w:r w:rsidR="00FD0BFD">
        <w:rPr>
          <w:rFonts w:ascii="Arial" w:eastAsia="Arial" w:hAnsi="Arial" w:cs="Arial"/>
          <w:sz w:val="26"/>
          <w:szCs w:val="26"/>
        </w:rPr>
        <w:t xml:space="preserve">la temporalidad </w:t>
      </w:r>
      <w:r w:rsidRPr="00671FD7">
        <w:rPr>
          <w:rFonts w:ascii="Arial" w:eastAsia="Arial" w:hAnsi="Arial" w:cs="Arial"/>
          <w:sz w:val="26"/>
          <w:szCs w:val="26"/>
        </w:rPr>
        <w:t xml:space="preserve">de </w:t>
      </w:r>
      <w:r w:rsidRPr="00671FD7">
        <w:rPr>
          <w:rFonts w:ascii="Arial" w:eastAsia="Arial" w:hAnsi="Arial" w:cs="Arial"/>
          <w:sz w:val="26"/>
          <w:szCs w:val="26"/>
        </w:rPr>
        <w:lastRenderedPageBreak/>
        <w:t>realización del proyecto, así como del ejercicio de los recursos, por lo que la Institución Estatal de Cultura debe generar los espacios y mecanismos para tal fin.</w:t>
      </w:r>
    </w:p>
    <w:p w:rsidR="00671FD7" w:rsidRPr="00671FD7" w:rsidRDefault="00671FD7" w:rsidP="00671FD7">
      <w:p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>Asimismo, no hay que dejar de perder de vista que en la modalidad en que se realice la difusión, se deberán tener en cuenta los siguientes temas:</w:t>
      </w:r>
    </w:p>
    <w:p w:rsidR="00671FD7" w:rsidRPr="00671FD7" w:rsidRDefault="00671FD7" w:rsidP="00671FD7">
      <w:p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</w:p>
    <w:p w:rsidR="00671FD7" w:rsidRPr="00671FD7" w:rsidRDefault="00671FD7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 xml:space="preserve">Definir el </w:t>
      </w:r>
      <w:r w:rsidR="00FD0BFD">
        <w:rPr>
          <w:rFonts w:ascii="Arial" w:eastAsia="Arial" w:hAnsi="Arial" w:cs="Arial"/>
          <w:sz w:val="26"/>
          <w:szCs w:val="26"/>
        </w:rPr>
        <w:t xml:space="preserve">objetivo del </w:t>
      </w:r>
      <w:r w:rsidRPr="00671FD7">
        <w:rPr>
          <w:rFonts w:ascii="Arial" w:eastAsia="Arial" w:hAnsi="Arial" w:cs="Arial"/>
          <w:sz w:val="26"/>
          <w:szCs w:val="26"/>
        </w:rPr>
        <w:t>Programa AIEC y cuáles son sus principales características.</w:t>
      </w:r>
    </w:p>
    <w:p w:rsidR="00671FD7" w:rsidRPr="00671FD7" w:rsidRDefault="00671FD7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>Identificar</w:t>
      </w:r>
      <w:r w:rsidR="00FD0BFD">
        <w:rPr>
          <w:rFonts w:ascii="Arial" w:eastAsia="Arial" w:hAnsi="Arial" w:cs="Arial"/>
          <w:sz w:val="26"/>
          <w:szCs w:val="26"/>
        </w:rPr>
        <w:t xml:space="preserve">, si es el caso, a </w:t>
      </w:r>
      <w:r w:rsidRPr="00671FD7">
        <w:rPr>
          <w:rFonts w:ascii="Arial" w:eastAsia="Arial" w:hAnsi="Arial" w:cs="Arial"/>
          <w:sz w:val="26"/>
          <w:szCs w:val="26"/>
        </w:rPr>
        <w:t>las instancias de gobierno que participan en el Proyecto.</w:t>
      </w:r>
    </w:p>
    <w:p w:rsidR="00671FD7" w:rsidRPr="00671FD7" w:rsidRDefault="00671FD7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 xml:space="preserve">Precisar </w:t>
      </w:r>
      <w:r w:rsidR="00FD0BFD">
        <w:rPr>
          <w:rFonts w:ascii="Arial" w:eastAsia="Arial" w:hAnsi="Arial" w:cs="Arial"/>
          <w:sz w:val="26"/>
          <w:szCs w:val="26"/>
        </w:rPr>
        <w:t xml:space="preserve">con claridad </w:t>
      </w:r>
      <w:r w:rsidRPr="00671FD7">
        <w:rPr>
          <w:rFonts w:ascii="Arial" w:eastAsia="Arial" w:hAnsi="Arial" w:cs="Arial"/>
          <w:sz w:val="26"/>
          <w:szCs w:val="26"/>
        </w:rPr>
        <w:t xml:space="preserve">el proyecto que será sujeto de Contraloría Social, </w:t>
      </w:r>
      <w:r w:rsidR="00FD0BFD">
        <w:rPr>
          <w:rFonts w:ascii="Arial" w:eastAsia="Arial" w:hAnsi="Arial" w:cs="Arial"/>
          <w:sz w:val="26"/>
          <w:szCs w:val="26"/>
        </w:rPr>
        <w:t>su</w:t>
      </w:r>
      <w:r w:rsidRPr="00671FD7">
        <w:rPr>
          <w:rFonts w:ascii="Arial" w:eastAsia="Arial" w:hAnsi="Arial" w:cs="Arial"/>
          <w:sz w:val="26"/>
          <w:szCs w:val="26"/>
        </w:rPr>
        <w:t xml:space="preserve"> objetivo, periodos de ejecución y su importe.</w:t>
      </w:r>
    </w:p>
    <w:p w:rsidR="00671FD7" w:rsidRPr="00671FD7" w:rsidRDefault="00FD0BFD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Precisar </w:t>
      </w:r>
      <w:r w:rsidR="00671FD7" w:rsidRPr="00671FD7">
        <w:rPr>
          <w:rFonts w:ascii="Arial" w:eastAsia="Arial" w:hAnsi="Arial" w:cs="Arial"/>
          <w:sz w:val="26"/>
          <w:szCs w:val="26"/>
        </w:rPr>
        <w:t>a los beneficiarios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C84E93">
        <w:rPr>
          <w:rFonts w:ascii="Arial" w:eastAsia="Arial" w:hAnsi="Arial" w:cs="Arial"/>
          <w:sz w:val="26"/>
          <w:szCs w:val="26"/>
        </w:rPr>
        <w:t xml:space="preserve">a quienes </w:t>
      </w:r>
      <w:r w:rsidR="00671FD7" w:rsidRPr="00671FD7">
        <w:rPr>
          <w:rFonts w:ascii="Arial" w:eastAsia="Arial" w:hAnsi="Arial" w:cs="Arial"/>
          <w:sz w:val="26"/>
          <w:szCs w:val="26"/>
        </w:rPr>
        <w:t>va dirigido el proyecto.</w:t>
      </w:r>
    </w:p>
    <w:p w:rsidR="00671FD7" w:rsidRPr="00671FD7" w:rsidRDefault="00671FD7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 xml:space="preserve">Definir </w:t>
      </w:r>
      <w:r w:rsidR="00FD0BFD">
        <w:rPr>
          <w:rFonts w:ascii="Arial" w:eastAsia="Arial" w:hAnsi="Arial" w:cs="Arial"/>
          <w:sz w:val="26"/>
          <w:szCs w:val="26"/>
        </w:rPr>
        <w:t xml:space="preserve">el propósito de </w:t>
      </w:r>
      <w:r w:rsidRPr="00671FD7">
        <w:rPr>
          <w:rFonts w:ascii="Arial" w:eastAsia="Arial" w:hAnsi="Arial" w:cs="Arial"/>
          <w:sz w:val="26"/>
          <w:szCs w:val="26"/>
        </w:rPr>
        <w:t>la Contraloría Social.</w:t>
      </w:r>
    </w:p>
    <w:p w:rsidR="00671FD7" w:rsidRPr="00C84E93" w:rsidRDefault="00C84E93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C84E93">
        <w:rPr>
          <w:rFonts w:ascii="Arial" w:eastAsia="Arial" w:hAnsi="Arial" w:cs="Arial"/>
          <w:sz w:val="26"/>
          <w:szCs w:val="26"/>
        </w:rPr>
        <w:t xml:space="preserve">Realizar </w:t>
      </w:r>
      <w:r w:rsidR="00FD0BFD" w:rsidRPr="00C84E93">
        <w:rPr>
          <w:rFonts w:ascii="Arial" w:eastAsia="Arial" w:hAnsi="Arial" w:cs="Arial"/>
          <w:sz w:val="26"/>
          <w:szCs w:val="26"/>
        </w:rPr>
        <w:t>los cursos de capacitación</w:t>
      </w:r>
      <w:r w:rsidRPr="00C84E93">
        <w:rPr>
          <w:rFonts w:ascii="Arial" w:eastAsia="Arial" w:hAnsi="Arial" w:cs="Arial"/>
          <w:sz w:val="26"/>
          <w:szCs w:val="26"/>
        </w:rPr>
        <w:t>, para e</w:t>
      </w:r>
      <w:r w:rsidR="00671FD7" w:rsidRPr="00C84E93">
        <w:rPr>
          <w:rFonts w:ascii="Arial" w:eastAsia="Arial" w:hAnsi="Arial" w:cs="Arial"/>
          <w:sz w:val="26"/>
          <w:szCs w:val="26"/>
        </w:rPr>
        <w:t>stablecer</w:t>
      </w:r>
      <w:r w:rsidR="00FD0BFD" w:rsidRPr="00C84E93">
        <w:rPr>
          <w:rFonts w:ascii="Arial" w:eastAsia="Arial" w:hAnsi="Arial" w:cs="Arial"/>
          <w:sz w:val="26"/>
          <w:szCs w:val="26"/>
        </w:rPr>
        <w:t xml:space="preserve"> con claridad</w:t>
      </w:r>
      <w:r w:rsidR="00671FD7" w:rsidRPr="00C84E93">
        <w:rPr>
          <w:rFonts w:ascii="Arial" w:eastAsia="Arial" w:hAnsi="Arial" w:cs="Arial"/>
          <w:sz w:val="26"/>
          <w:szCs w:val="26"/>
        </w:rPr>
        <w:t xml:space="preserve"> las actividades que realizarán los contralores sociales.</w:t>
      </w:r>
    </w:p>
    <w:p w:rsidR="00671FD7" w:rsidRPr="00671FD7" w:rsidRDefault="00671FD7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>Observar pronunciamientos básicos que garanticen el acceso igualitario de ambos sexos.</w:t>
      </w:r>
    </w:p>
    <w:p w:rsidR="00671FD7" w:rsidRPr="00671FD7" w:rsidRDefault="00671FD7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sz w:val="26"/>
          <w:szCs w:val="26"/>
        </w:rPr>
        <w:t xml:space="preserve">Definir a los responsables de la </w:t>
      </w:r>
      <w:r w:rsidR="00FD0BFD">
        <w:rPr>
          <w:rFonts w:ascii="Arial" w:eastAsia="Arial" w:hAnsi="Arial" w:cs="Arial"/>
          <w:sz w:val="26"/>
          <w:szCs w:val="26"/>
        </w:rPr>
        <w:t xml:space="preserve">ejecución y </w:t>
      </w:r>
      <w:r w:rsidRPr="00671FD7">
        <w:rPr>
          <w:rFonts w:ascii="Arial" w:eastAsia="Arial" w:hAnsi="Arial" w:cs="Arial"/>
          <w:sz w:val="26"/>
          <w:szCs w:val="26"/>
        </w:rPr>
        <w:t>difusión del Proyecto.</w:t>
      </w:r>
    </w:p>
    <w:p w:rsidR="00671FD7" w:rsidRPr="00C84E93" w:rsidRDefault="00C84E93" w:rsidP="00671FD7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C84E93">
        <w:rPr>
          <w:rFonts w:ascii="Arial" w:eastAsia="Arial" w:hAnsi="Arial" w:cs="Arial"/>
          <w:sz w:val="26"/>
          <w:szCs w:val="26"/>
        </w:rPr>
        <w:t>Precisar c</w:t>
      </w:r>
      <w:r w:rsidR="00425614">
        <w:rPr>
          <w:rFonts w:ascii="Arial" w:eastAsia="Arial" w:hAnsi="Arial" w:cs="Arial"/>
          <w:sz w:val="26"/>
          <w:szCs w:val="26"/>
        </w:rPr>
        <w:t>ó</w:t>
      </w:r>
      <w:r w:rsidR="00671FD7" w:rsidRPr="00C84E93">
        <w:rPr>
          <w:rFonts w:ascii="Arial" w:eastAsia="Arial" w:hAnsi="Arial" w:cs="Arial"/>
          <w:sz w:val="26"/>
          <w:szCs w:val="26"/>
        </w:rPr>
        <w:t>mo se atenderán las quejas y denuncias.</w:t>
      </w:r>
    </w:p>
    <w:p w:rsidR="00671FD7" w:rsidRPr="00671FD7" w:rsidRDefault="00671FD7" w:rsidP="00671FD7">
      <w:pPr>
        <w:spacing w:after="266"/>
        <w:ind w:right="218"/>
        <w:jc w:val="both"/>
        <w:rPr>
          <w:rFonts w:ascii="Arial" w:hAnsi="Arial" w:cs="Arial"/>
          <w:sz w:val="26"/>
          <w:szCs w:val="26"/>
        </w:rPr>
      </w:pPr>
    </w:p>
    <w:p w:rsidR="00671FD7" w:rsidRPr="00671FD7" w:rsidRDefault="00671FD7" w:rsidP="00671FD7">
      <w:pPr>
        <w:pStyle w:val="Prrafodelista"/>
        <w:numPr>
          <w:ilvl w:val="0"/>
          <w:numId w:val="18"/>
        </w:numPr>
        <w:spacing w:after="0" w:line="259" w:lineRule="auto"/>
        <w:ind w:left="426" w:hanging="426"/>
        <w:jc w:val="both"/>
        <w:rPr>
          <w:rFonts w:ascii="Arial" w:eastAsia="Arial" w:hAnsi="Arial" w:cs="Arial"/>
          <w:b/>
          <w:sz w:val="26"/>
          <w:szCs w:val="26"/>
        </w:rPr>
      </w:pPr>
      <w:r w:rsidRPr="00671FD7">
        <w:rPr>
          <w:rFonts w:ascii="Arial" w:eastAsia="Arial" w:hAnsi="Arial" w:cs="Arial"/>
          <w:b/>
          <w:sz w:val="26"/>
          <w:szCs w:val="26"/>
        </w:rPr>
        <w:t xml:space="preserve">IMPLEMENTACIÓN DE LAS ACCIONES DE DIFUSIÓN </w:t>
      </w:r>
    </w:p>
    <w:p w:rsidR="00671FD7" w:rsidRPr="00671FD7" w:rsidRDefault="00671FD7" w:rsidP="00671FD7">
      <w:pPr>
        <w:spacing w:after="0" w:line="259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671FD7" w:rsidRPr="00671FD7" w:rsidRDefault="00671FD7" w:rsidP="00321B1D">
      <w:pPr>
        <w:ind w:left="426" w:right="218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La Institución Estatal de Cultura</w:t>
      </w:r>
      <w:r w:rsidR="00C84E93">
        <w:rPr>
          <w:rFonts w:ascii="Arial" w:hAnsi="Arial" w:cs="Arial"/>
          <w:sz w:val="26"/>
          <w:szCs w:val="26"/>
        </w:rPr>
        <w:t>, a través d</w:t>
      </w:r>
      <w:r w:rsidRPr="00671FD7">
        <w:rPr>
          <w:rFonts w:ascii="Arial" w:hAnsi="Arial" w:cs="Arial"/>
          <w:sz w:val="26"/>
          <w:szCs w:val="26"/>
        </w:rPr>
        <w:t xml:space="preserve">el Enlace de Contraloría Social, deberá acordar las actividades de difusión en materia de contraloría social, </w:t>
      </w:r>
      <w:r w:rsidR="00425614">
        <w:rPr>
          <w:rFonts w:ascii="Arial" w:hAnsi="Arial" w:cs="Arial"/>
          <w:sz w:val="26"/>
          <w:szCs w:val="26"/>
        </w:rPr>
        <w:t xml:space="preserve">y podrá, </w:t>
      </w:r>
      <w:r w:rsidR="00A70DF4">
        <w:rPr>
          <w:rFonts w:ascii="Arial" w:hAnsi="Arial" w:cs="Arial"/>
          <w:sz w:val="26"/>
          <w:szCs w:val="26"/>
        </w:rPr>
        <w:t>de ser</w:t>
      </w:r>
      <w:r w:rsidR="00425614">
        <w:rPr>
          <w:rFonts w:ascii="Arial" w:hAnsi="Arial" w:cs="Arial"/>
          <w:sz w:val="26"/>
          <w:szCs w:val="26"/>
        </w:rPr>
        <w:t xml:space="preserve"> necesario</w:t>
      </w:r>
      <w:r w:rsidR="00A70DF4">
        <w:rPr>
          <w:rFonts w:ascii="Arial" w:hAnsi="Arial" w:cs="Arial"/>
          <w:sz w:val="26"/>
          <w:szCs w:val="26"/>
        </w:rPr>
        <w:t>,</w:t>
      </w:r>
      <w:r w:rsidR="00425614">
        <w:rPr>
          <w:rFonts w:ascii="Arial" w:hAnsi="Arial" w:cs="Arial"/>
          <w:sz w:val="26"/>
          <w:szCs w:val="26"/>
        </w:rPr>
        <w:t xml:space="preserve"> </w:t>
      </w:r>
      <w:r w:rsidRPr="00671FD7">
        <w:rPr>
          <w:rFonts w:ascii="Arial" w:hAnsi="Arial" w:cs="Arial"/>
          <w:sz w:val="26"/>
          <w:szCs w:val="26"/>
        </w:rPr>
        <w:t>coordina</w:t>
      </w:r>
      <w:r w:rsidR="00425614">
        <w:rPr>
          <w:rFonts w:ascii="Arial" w:hAnsi="Arial" w:cs="Arial"/>
          <w:sz w:val="26"/>
          <w:szCs w:val="26"/>
        </w:rPr>
        <w:t>rse</w:t>
      </w:r>
      <w:r w:rsidRPr="00671FD7">
        <w:rPr>
          <w:rFonts w:ascii="Arial" w:hAnsi="Arial" w:cs="Arial"/>
          <w:sz w:val="26"/>
          <w:szCs w:val="26"/>
        </w:rPr>
        <w:t xml:space="preserve"> con los </w:t>
      </w:r>
      <w:r w:rsidR="004A3045">
        <w:rPr>
          <w:rFonts w:ascii="Arial" w:hAnsi="Arial" w:cs="Arial"/>
          <w:sz w:val="26"/>
          <w:szCs w:val="26"/>
        </w:rPr>
        <w:t>siguientes</w:t>
      </w:r>
      <w:r w:rsidRPr="00671FD7">
        <w:rPr>
          <w:rFonts w:ascii="Arial" w:hAnsi="Arial" w:cs="Arial"/>
          <w:sz w:val="26"/>
          <w:szCs w:val="26"/>
        </w:rPr>
        <w:t xml:space="preserve"> sectores: </w:t>
      </w:r>
    </w:p>
    <w:p w:rsidR="00425614" w:rsidRPr="00671FD7" w:rsidRDefault="00425614" w:rsidP="00425614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Secretaría de Educación Pública (SEP), </w:t>
      </w:r>
    </w:p>
    <w:p w:rsidR="00425614" w:rsidRDefault="00425614" w:rsidP="00425614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Gobiernos Municipales</w:t>
      </w:r>
      <w:r w:rsidRPr="00671FD7">
        <w:rPr>
          <w:rFonts w:ascii="Arial" w:hAnsi="Arial" w:cs="Arial"/>
          <w:sz w:val="26"/>
          <w:szCs w:val="26"/>
        </w:rPr>
        <w:t xml:space="preserve">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Comisión Nacional para el Desarrollo de Pueblos Indígenas (CDI),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Instituto Nacional de Lenguas Indígenas (INALI),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Instituto Nacional de las Mujeres (INMUJERES),</w:t>
      </w:r>
    </w:p>
    <w:p w:rsidR="00425614" w:rsidRPr="00671FD7" w:rsidRDefault="00425614" w:rsidP="00425614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Instituto Nacional de las Personas Adultas Mayores (INAPAM),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Organizaciones de la Sociedad Civil  </w:t>
      </w:r>
    </w:p>
    <w:p w:rsidR="00671FD7" w:rsidRPr="00671FD7" w:rsidRDefault="00671FD7" w:rsidP="00671FD7">
      <w:pPr>
        <w:numPr>
          <w:ilvl w:val="1"/>
          <w:numId w:val="16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lastRenderedPageBreak/>
        <w:t>Otras instituciones del sector público o privado interesadas en el tema o que realizan actividades en la materia.</w:t>
      </w:r>
    </w:p>
    <w:p w:rsidR="00671FD7" w:rsidRPr="00671FD7" w:rsidRDefault="00671FD7" w:rsidP="00671FD7">
      <w:pPr>
        <w:spacing w:after="0" w:line="259" w:lineRule="auto"/>
        <w:ind w:left="526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Las </w:t>
      </w:r>
      <w:r w:rsidR="000F043B">
        <w:rPr>
          <w:rFonts w:ascii="Arial" w:hAnsi="Arial" w:cs="Arial"/>
          <w:sz w:val="26"/>
          <w:szCs w:val="26"/>
        </w:rPr>
        <w:t xml:space="preserve">modalidades </w:t>
      </w:r>
      <w:r w:rsidR="00A70DF4">
        <w:rPr>
          <w:rFonts w:ascii="Arial" w:hAnsi="Arial" w:cs="Arial"/>
          <w:sz w:val="26"/>
          <w:szCs w:val="26"/>
        </w:rPr>
        <w:t xml:space="preserve">recomendables para </w:t>
      </w:r>
      <w:r w:rsidRPr="00671FD7">
        <w:rPr>
          <w:rFonts w:ascii="Arial" w:hAnsi="Arial" w:cs="Arial"/>
          <w:sz w:val="26"/>
          <w:szCs w:val="26"/>
        </w:rPr>
        <w:t xml:space="preserve">realizar </w:t>
      </w:r>
      <w:r w:rsidR="00A70DF4">
        <w:rPr>
          <w:rFonts w:ascii="Arial" w:hAnsi="Arial" w:cs="Arial"/>
          <w:sz w:val="26"/>
          <w:szCs w:val="26"/>
        </w:rPr>
        <w:t xml:space="preserve">la difusión </w:t>
      </w:r>
      <w:r w:rsidRPr="00671FD7">
        <w:rPr>
          <w:rFonts w:ascii="Arial" w:hAnsi="Arial" w:cs="Arial"/>
          <w:sz w:val="26"/>
          <w:szCs w:val="26"/>
        </w:rPr>
        <w:t xml:space="preserve">son: </w:t>
      </w:r>
    </w:p>
    <w:p w:rsidR="00671FD7" w:rsidRPr="00671FD7" w:rsidRDefault="00671FD7" w:rsidP="00671FD7">
      <w:pPr>
        <w:numPr>
          <w:ilvl w:val="1"/>
          <w:numId w:val="20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Diseño e impresión de carteles, folletos y panfletos enfocados a la importancia de la contraloría social y la denuncia ciudadana.</w:t>
      </w:r>
    </w:p>
    <w:p w:rsidR="00671FD7" w:rsidRPr="00671FD7" w:rsidRDefault="00671FD7" w:rsidP="00671FD7">
      <w:pPr>
        <w:numPr>
          <w:ilvl w:val="1"/>
          <w:numId w:val="20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Realización de videos y contenidos para transmisión de teleconferencias sobre participación ciudadana y cultura de la denuncia.</w:t>
      </w:r>
    </w:p>
    <w:p w:rsidR="00671FD7" w:rsidRPr="00671FD7" w:rsidRDefault="00671FD7" w:rsidP="00671FD7">
      <w:pPr>
        <w:numPr>
          <w:ilvl w:val="1"/>
          <w:numId w:val="20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Diseño y definición de contenidos de una página en Internet con los mismos temas.</w:t>
      </w:r>
    </w:p>
    <w:p w:rsidR="00671FD7" w:rsidRPr="00671FD7" w:rsidRDefault="000F043B" w:rsidP="00671FD7">
      <w:pPr>
        <w:numPr>
          <w:ilvl w:val="1"/>
          <w:numId w:val="20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Apoyo en m</w:t>
      </w:r>
      <w:r w:rsidR="00671FD7" w:rsidRPr="00671FD7">
        <w:rPr>
          <w:rFonts w:ascii="Arial" w:hAnsi="Arial" w:cs="Arial"/>
          <w:sz w:val="26"/>
          <w:szCs w:val="26"/>
        </w:rPr>
        <w:t>edios audiovisuales.</w:t>
      </w:r>
    </w:p>
    <w:p w:rsidR="00671FD7" w:rsidRPr="00671FD7" w:rsidRDefault="00671FD7" w:rsidP="00671FD7">
      <w:pPr>
        <w:numPr>
          <w:ilvl w:val="1"/>
          <w:numId w:val="20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Transmisión de información en radiodifusoras.</w:t>
      </w:r>
    </w:p>
    <w:p w:rsidR="00671FD7" w:rsidRPr="00671FD7" w:rsidRDefault="00671FD7" w:rsidP="00671FD7">
      <w:pPr>
        <w:numPr>
          <w:ilvl w:val="1"/>
          <w:numId w:val="20"/>
        </w:numPr>
        <w:spacing w:after="11" w:line="248" w:lineRule="auto"/>
        <w:ind w:right="218" w:hanging="35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Información persona a persona.</w:t>
      </w:r>
    </w:p>
    <w:p w:rsidR="00671FD7" w:rsidRPr="00671FD7" w:rsidRDefault="00671FD7" w:rsidP="00671FD7">
      <w:pPr>
        <w:spacing w:after="0" w:line="259" w:lineRule="auto"/>
        <w:ind w:left="526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Los carteles, volantes y panfletos, se </w:t>
      </w:r>
      <w:r w:rsidR="00C84E93">
        <w:rPr>
          <w:rFonts w:ascii="Arial" w:hAnsi="Arial" w:cs="Arial"/>
          <w:sz w:val="26"/>
          <w:szCs w:val="26"/>
        </w:rPr>
        <w:t xml:space="preserve">podrán colocar en los espacios que determine la instancia estatal de cultura, preferentemente se recomienda en los </w:t>
      </w:r>
      <w:r w:rsidRPr="00671FD7">
        <w:rPr>
          <w:rFonts w:ascii="Arial" w:hAnsi="Arial" w:cs="Arial"/>
          <w:sz w:val="26"/>
          <w:szCs w:val="26"/>
        </w:rPr>
        <w:t xml:space="preserve">espacios físicos en donde se </w:t>
      </w:r>
      <w:r w:rsidR="00C84E93">
        <w:rPr>
          <w:rFonts w:ascii="Arial" w:hAnsi="Arial" w:cs="Arial"/>
          <w:sz w:val="26"/>
          <w:szCs w:val="26"/>
        </w:rPr>
        <w:t>realice el proyecto cultural</w:t>
      </w:r>
      <w:r w:rsidRPr="00671FD7">
        <w:rPr>
          <w:rFonts w:ascii="Arial" w:hAnsi="Arial" w:cs="Arial"/>
          <w:sz w:val="26"/>
          <w:szCs w:val="26"/>
        </w:rPr>
        <w:t>.</w:t>
      </w: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Los videos se pueden repartir a</w:t>
      </w:r>
      <w:r w:rsidR="009F7C81">
        <w:rPr>
          <w:rFonts w:ascii="Arial" w:hAnsi="Arial" w:cs="Arial"/>
          <w:sz w:val="26"/>
          <w:szCs w:val="26"/>
        </w:rPr>
        <w:t xml:space="preserve">. </w:t>
      </w:r>
      <w:r w:rsidRPr="00671FD7">
        <w:rPr>
          <w:rFonts w:ascii="Arial" w:hAnsi="Arial" w:cs="Arial"/>
          <w:sz w:val="26"/>
          <w:szCs w:val="26"/>
        </w:rPr>
        <w:t>Gestores Culturales, Casas de Cultura, Facilitadores Voluntarios, Organizaciones de la Sociedad Civil y otras instituciones del sector social y privado.</w:t>
      </w: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8"/>
          <w:szCs w:val="28"/>
        </w:rPr>
      </w:pP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8"/>
          <w:szCs w:val="28"/>
        </w:rPr>
      </w:pPr>
    </w:p>
    <w:p w:rsidR="00671FD7" w:rsidRPr="00671FD7" w:rsidRDefault="00671FD7" w:rsidP="00671FD7">
      <w:pPr>
        <w:ind w:left="709" w:right="760"/>
        <w:jc w:val="both"/>
        <w:rPr>
          <w:rFonts w:ascii="Arial" w:hAnsi="Arial" w:cs="Arial"/>
          <w:b/>
          <w:sz w:val="20"/>
          <w:szCs w:val="20"/>
        </w:rPr>
      </w:pPr>
      <w:r w:rsidRPr="00671FD7">
        <w:rPr>
          <w:rFonts w:ascii="Arial" w:hAnsi="Arial" w:cs="Arial"/>
          <w:b/>
          <w:sz w:val="20"/>
          <w:szCs w:val="20"/>
        </w:rPr>
        <w:t xml:space="preserve">NOTA: Lo anteriormente comentado no es limitativo y podrá ser utilizado otro medio que se considere conveniente, sin dejar de observar que las labores de difusión </w:t>
      </w:r>
      <w:r w:rsidR="009F7C81">
        <w:rPr>
          <w:rFonts w:ascii="Arial" w:hAnsi="Arial" w:cs="Arial"/>
          <w:b/>
          <w:sz w:val="20"/>
          <w:szCs w:val="20"/>
        </w:rPr>
        <w:t xml:space="preserve">deben ser del conocimiento del contralor social y considerar que </w:t>
      </w:r>
      <w:r w:rsidRPr="00671FD7">
        <w:rPr>
          <w:rFonts w:ascii="Arial" w:hAnsi="Arial" w:cs="Arial"/>
          <w:b/>
          <w:sz w:val="20"/>
          <w:szCs w:val="20"/>
        </w:rPr>
        <w:t>no se podrán utilizar recursos del proyecto.</w:t>
      </w:r>
    </w:p>
    <w:p w:rsidR="00671FD7" w:rsidRPr="00671FD7" w:rsidRDefault="00671FD7" w:rsidP="00671FD7">
      <w:pPr>
        <w:ind w:left="709" w:right="760"/>
        <w:jc w:val="both"/>
        <w:rPr>
          <w:rFonts w:ascii="Arial" w:hAnsi="Arial" w:cs="Arial"/>
          <w:b/>
          <w:sz w:val="28"/>
          <w:szCs w:val="28"/>
        </w:rPr>
      </w:pPr>
    </w:p>
    <w:p w:rsidR="00671FD7" w:rsidRPr="00671FD7" w:rsidRDefault="00671FD7" w:rsidP="00671FD7">
      <w:pPr>
        <w:ind w:left="709" w:right="760"/>
        <w:jc w:val="both"/>
        <w:rPr>
          <w:rFonts w:ascii="Arial" w:hAnsi="Arial" w:cs="Arial"/>
          <w:b/>
          <w:sz w:val="28"/>
          <w:szCs w:val="28"/>
        </w:rPr>
      </w:pPr>
    </w:p>
    <w:sectPr w:rsidR="00671FD7" w:rsidRPr="00671FD7" w:rsidSect="00B32981">
      <w:headerReference w:type="default" r:id="rId8"/>
      <w:footerReference w:type="default" r:id="rId9"/>
      <w:pgSz w:w="12240" w:h="15840"/>
      <w:pgMar w:top="1440" w:right="1418" w:bottom="187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30" w:rsidRDefault="005A2830" w:rsidP="006B3130">
      <w:pPr>
        <w:spacing w:after="0" w:line="240" w:lineRule="auto"/>
      </w:pPr>
      <w:r>
        <w:separator/>
      </w:r>
    </w:p>
  </w:endnote>
  <w:endnote w:type="continuationSeparator" w:id="0">
    <w:p w:rsidR="005A2830" w:rsidRDefault="005A2830" w:rsidP="006B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540698"/>
      <w:docPartObj>
        <w:docPartGallery w:val="Page Numbers (Bottom of Page)"/>
        <w:docPartUnique/>
      </w:docPartObj>
    </w:sdtPr>
    <w:sdtEndPr/>
    <w:sdtContent>
      <w:p w:rsidR="00B32981" w:rsidRDefault="00B32981">
        <w:pPr>
          <w:pStyle w:val="Piedepgina"/>
          <w:jc w:val="right"/>
        </w:pPr>
        <w:r w:rsidRPr="00A91D90">
          <w:rPr>
            <w:rFonts w:ascii="Arial" w:hAnsi="Arial" w:cs="Arial"/>
            <w:smallCaps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rawing>
            <wp:anchor distT="0" distB="0" distL="114300" distR="114300" simplePos="0" relativeHeight="251663360" behindDoc="0" locked="0" layoutInCell="1" allowOverlap="1" wp14:anchorId="4E1714E7" wp14:editId="6689B337">
              <wp:simplePos x="0" y="0"/>
              <wp:positionH relativeFrom="column">
                <wp:posOffset>2590800</wp:posOffset>
              </wp:positionH>
              <wp:positionV relativeFrom="paragraph">
                <wp:posOffset>-305435</wp:posOffset>
              </wp:positionV>
              <wp:extent cx="1025525" cy="815975"/>
              <wp:effectExtent l="0" t="0" r="3175" b="3175"/>
              <wp:wrapNone/>
              <wp:docPr id="433" name="Imagen 4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5525" cy="81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4E1B11" w:rsidRPr="00B32981" w:rsidRDefault="004E1B11" w:rsidP="00B32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30" w:rsidRDefault="005A2830" w:rsidP="006B3130">
      <w:pPr>
        <w:spacing w:after="0" w:line="240" w:lineRule="auto"/>
      </w:pPr>
      <w:r>
        <w:separator/>
      </w:r>
    </w:p>
  </w:footnote>
  <w:footnote w:type="continuationSeparator" w:id="0">
    <w:p w:rsidR="005A2830" w:rsidRDefault="005A2830" w:rsidP="006B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30" w:rsidRPr="00ED768A" w:rsidRDefault="00C5396E" w:rsidP="00740992">
    <w:pPr>
      <w:spacing w:after="0"/>
      <w:ind w:right="-126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FEC20" wp14:editId="1B6E88E6">
              <wp:simplePos x="0" y="0"/>
              <wp:positionH relativeFrom="margin">
                <wp:posOffset>2376170</wp:posOffset>
              </wp:positionH>
              <wp:positionV relativeFrom="paragraph">
                <wp:posOffset>92710</wp:posOffset>
              </wp:positionV>
              <wp:extent cx="3629025" cy="590550"/>
              <wp:effectExtent l="0" t="0" r="28575" b="19050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GENERAL DE VINCULACIÓN CULTURAL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DE PROMOCIÓN, FORMACIÓN Y DESARROLLO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APOYO A INSTITUCIONES ESTATALES DE CULTURA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color w:val="000000" w:themeColor="dark1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EC20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187.1pt;margin-top:7.3pt;width:28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" fillcolor="white [3201]" strokecolor="white [3212]">
              <v:textbox>
                <w:txbxContent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GENERAL DE VINCULACIÓN CULTURAL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DE PROMOCIÓN, FORMACIÓN Y DESARROLLO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APOYO A INSTITUCIONES ESTATALES DE CULTURA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color w:val="000000" w:themeColor="dark1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3130">
      <w:fldChar w:fldCharType="begin"/>
    </w:r>
    <w:r w:rsidR="006B3130">
      <w:instrText xml:space="preserve"> INCLUDEPICTURE  "cid:image001.jpg@01D1577F.ACDF1820" \* MERGEFORMATINET </w:instrText>
    </w:r>
    <w:r w:rsidR="006B3130">
      <w:fldChar w:fldCharType="separate"/>
    </w:r>
    <w:r w:rsidR="00CD763E">
      <w:fldChar w:fldCharType="begin"/>
    </w:r>
    <w:r w:rsidR="00CD763E">
      <w:instrText xml:space="preserve"> INCLUDEPICTURE  "cid:image001.jpg@01D1577F.ACDF1820" \* MERGEFORMATINET </w:instrText>
    </w:r>
    <w:r w:rsidR="00CD763E">
      <w:fldChar w:fldCharType="separate"/>
    </w:r>
    <w:r w:rsidR="000F41C3">
      <w:fldChar w:fldCharType="begin"/>
    </w:r>
    <w:r w:rsidR="000F41C3">
      <w:instrText xml:space="preserve"> INCLUDEPICTURE  "cid:image001.jpg@01D1577F.ACDF1820" \* MERGEFORMATINET </w:instrText>
    </w:r>
    <w:r w:rsidR="000F41C3">
      <w:fldChar w:fldCharType="separate"/>
    </w:r>
    <w:r w:rsidR="00095C23">
      <w:fldChar w:fldCharType="begin"/>
    </w:r>
    <w:r w:rsidR="00095C23">
      <w:instrText xml:space="preserve"> INCLUDEPICTURE  "cid:image001.jpg@01D1577F.ACDF1820" \* MERGEFORMATINET </w:instrText>
    </w:r>
    <w:r w:rsidR="00095C23">
      <w:fldChar w:fldCharType="separate"/>
    </w:r>
    <w:r w:rsidR="00B92764">
      <w:fldChar w:fldCharType="begin"/>
    </w:r>
    <w:r w:rsidR="00B92764">
      <w:instrText xml:space="preserve"> INCLUDEPICTURE  "cid:image001.jpg@01D1577F.ACDF1820" \* MERGEFORMATINET </w:instrText>
    </w:r>
    <w:r w:rsidR="00B92764">
      <w:fldChar w:fldCharType="separate"/>
    </w:r>
    <w:r w:rsidR="00BE1254">
      <w:fldChar w:fldCharType="begin"/>
    </w:r>
    <w:r w:rsidR="00BE1254">
      <w:instrText xml:space="preserve"> INCLUDEPICTURE  "cid:image001.jpg@01D1577F.ACDF1820" \* MERGEFORMATINET </w:instrText>
    </w:r>
    <w:r w:rsidR="00BE1254">
      <w:fldChar w:fldCharType="separate"/>
    </w:r>
    <w:r w:rsidR="00F04185">
      <w:fldChar w:fldCharType="begin"/>
    </w:r>
    <w:r w:rsidR="00F04185">
      <w:instrText xml:space="preserve"> INCLUDEPICTURE  "cid:image001.jpg@01D1577F.ACDF1820" \* MERGEFORMATINET </w:instrText>
    </w:r>
    <w:r w:rsidR="00F04185">
      <w:fldChar w:fldCharType="separate"/>
    </w:r>
    <w:r w:rsidR="009E4851">
      <w:fldChar w:fldCharType="begin"/>
    </w:r>
    <w:r w:rsidR="009E4851">
      <w:instrText xml:space="preserve"> INCLUDEPICTURE  "cid:image001.jpg@01D1577F.ACDF1820" \* MERGEFORMATINET </w:instrText>
    </w:r>
    <w:r w:rsidR="009E4851">
      <w:fldChar w:fldCharType="separate"/>
    </w:r>
    <w:r w:rsidR="002B736A">
      <w:fldChar w:fldCharType="begin"/>
    </w:r>
    <w:r w:rsidR="002B736A">
      <w:instrText xml:space="preserve"> INCLUDEPICTURE  "cid:image001.jpg@01D1577F.ACDF1820" \* MERGEFORMATINET </w:instrText>
    </w:r>
    <w:r w:rsidR="002B736A">
      <w:fldChar w:fldCharType="separate"/>
    </w:r>
    <w:r w:rsidR="00DF5205">
      <w:fldChar w:fldCharType="begin"/>
    </w:r>
    <w:r w:rsidR="00DF5205">
      <w:instrText xml:space="preserve"> INCLUDEPICTURE  "cid:image001.jpg@01D1577F.ACDF1820" \* MERGEFORMATINET </w:instrText>
    </w:r>
    <w:r w:rsidR="00DF5205">
      <w:fldChar w:fldCharType="separate"/>
    </w:r>
    <w:r w:rsidR="00974023">
      <w:fldChar w:fldCharType="begin"/>
    </w:r>
    <w:r w:rsidR="00974023">
      <w:instrText xml:space="preserve"> INCLUDEPICTURE  "cid:image001.jpg@01D1577F.ACDF1820" \* MERGEFORMATINET </w:instrText>
    </w:r>
    <w:r w:rsidR="00974023">
      <w:fldChar w:fldCharType="separate"/>
    </w:r>
    <w:r w:rsidR="009D4B66">
      <w:fldChar w:fldCharType="begin"/>
    </w:r>
    <w:r w:rsidR="009D4B66">
      <w:instrText xml:space="preserve"> INCLUDEPICTURE  "cid:image001.jpg@01D1577F.ACDF1820" \* MERGEFORMATINET </w:instrText>
    </w:r>
    <w:r w:rsidR="009D4B66">
      <w:fldChar w:fldCharType="separate"/>
    </w:r>
    <w:r w:rsidR="0042082C">
      <w:fldChar w:fldCharType="begin"/>
    </w:r>
    <w:r w:rsidR="0042082C">
      <w:instrText xml:space="preserve"> INCLUDEPICTURE  "cid:image001.jpg@01D1577F.ACDF1820" \* MERGEFORMATINET </w:instrText>
    </w:r>
    <w:r w:rsidR="0042082C">
      <w:fldChar w:fldCharType="separate"/>
    </w:r>
    <w:r w:rsidR="00BF6FF1">
      <w:fldChar w:fldCharType="begin"/>
    </w:r>
    <w:r w:rsidR="00BF6FF1">
      <w:instrText xml:space="preserve"> INCLUDEPICTURE  "cid:image001.jpg@01D1577F.ACDF1820" \* MERGEFORMATINET </w:instrText>
    </w:r>
    <w:r w:rsidR="00BF6FF1">
      <w:fldChar w:fldCharType="separate"/>
    </w:r>
    <w:r w:rsidR="007E7BF9">
      <w:fldChar w:fldCharType="begin"/>
    </w:r>
    <w:r w:rsidR="007E7BF9">
      <w:instrText xml:space="preserve"> INCLUDEPICTURE  "cid:image001.jpg@01D1577F.ACDF1820" \* MERGEFORMATINET </w:instrText>
    </w:r>
    <w:r w:rsidR="007E7BF9">
      <w:fldChar w:fldCharType="separate"/>
    </w:r>
    <w:r w:rsidR="00C34F24">
      <w:fldChar w:fldCharType="begin"/>
    </w:r>
    <w:r w:rsidR="00C34F24">
      <w:instrText xml:space="preserve"> INCLUDEPICTURE  "cid:image001.jpg@01D1577F.ACDF1820" \* MERGEFORMATINET </w:instrText>
    </w:r>
    <w:r w:rsidR="00C34F24">
      <w:fldChar w:fldCharType="separate"/>
    </w:r>
    <w:r w:rsidR="002228C4">
      <w:fldChar w:fldCharType="begin"/>
    </w:r>
    <w:r w:rsidR="002228C4">
      <w:instrText xml:space="preserve"> INCLUDEPICTURE  "cid:image001.jpg@01D1577F.ACDF1820" \* MERGEFORMATINET </w:instrText>
    </w:r>
    <w:r w:rsidR="002228C4">
      <w:fldChar w:fldCharType="separate"/>
    </w:r>
    <w:r w:rsidR="00531101">
      <w:fldChar w:fldCharType="begin"/>
    </w:r>
    <w:r w:rsidR="00531101">
      <w:instrText xml:space="preserve"> INCLUDEPICTURE  "cid:image001.jpg@01D1577F.ACDF1820" \* MERGEFORMATINET </w:instrText>
    </w:r>
    <w:r w:rsidR="00531101">
      <w:fldChar w:fldCharType="separate"/>
    </w:r>
    <w:r w:rsidR="00246657">
      <w:fldChar w:fldCharType="begin"/>
    </w:r>
    <w:r w:rsidR="00246657">
      <w:instrText xml:space="preserve"> INCLUDEPICTURE  "cid:image001.jpg@01D1577F.ACDF1820" \* MERGEFORMATINET </w:instrText>
    </w:r>
    <w:r w:rsidR="00246657">
      <w:fldChar w:fldCharType="separate"/>
    </w:r>
    <w:r w:rsidR="00A70089">
      <w:fldChar w:fldCharType="begin"/>
    </w:r>
    <w:r w:rsidR="00A70089">
      <w:instrText xml:space="preserve"> INCLUDEPICTURE  "cid:image001.jpg@01D1577F.ACDF1820" \* MERGEFORMATINET </w:instrText>
    </w:r>
    <w:r w:rsidR="00A70089">
      <w:fldChar w:fldCharType="separate"/>
    </w:r>
    <w:r w:rsidR="00EC2E95">
      <w:fldChar w:fldCharType="begin"/>
    </w:r>
    <w:r w:rsidR="00EC2E95">
      <w:instrText xml:space="preserve"> INCLUDEPICTURE  "cid:image001.jpg@01D1577F.ACDF1820" \* MERGEFORMATINET </w:instrText>
    </w:r>
    <w:r w:rsidR="00EC2E95">
      <w:fldChar w:fldCharType="separate"/>
    </w:r>
    <w:r w:rsidR="00D5644B">
      <w:fldChar w:fldCharType="begin"/>
    </w:r>
    <w:r w:rsidR="00D5644B">
      <w:instrText xml:space="preserve"> INCLUDEPICTURE  "cid:image001.jpg@01D1577F.ACDF1820" \* MERGEFORMATINET </w:instrText>
    </w:r>
    <w:r w:rsidR="00D5644B">
      <w:fldChar w:fldCharType="separate"/>
    </w:r>
    <w:r w:rsidR="00EC1B70">
      <w:fldChar w:fldCharType="begin"/>
    </w:r>
    <w:r w:rsidR="00EC1B70">
      <w:instrText xml:space="preserve"> INCLUDEPICTURE  "cid:image001.jpg@01D1577F.ACDF1820" \* MERGEFORMATINET </w:instrText>
    </w:r>
    <w:r w:rsidR="00EC1B70">
      <w:fldChar w:fldCharType="separate"/>
    </w:r>
    <w:r w:rsidR="00DF7891">
      <w:fldChar w:fldCharType="begin"/>
    </w:r>
    <w:r w:rsidR="00DF7891">
      <w:instrText xml:space="preserve"> INCLUDEPICTURE  "cid:image001.jpg@01D1577F.ACDF1820" \* MERGEFORMATINET </w:instrText>
    </w:r>
    <w:r w:rsidR="00DF7891">
      <w:fldChar w:fldCharType="separate"/>
    </w:r>
    <w:r w:rsidR="009D7E58">
      <w:fldChar w:fldCharType="begin"/>
    </w:r>
    <w:r w:rsidR="009D7E58">
      <w:instrText xml:space="preserve"> INCLUDEPICTURE  "cid:image001.jpg@01D1577F.ACDF1820" \* MERGEFORMATINET </w:instrText>
    </w:r>
    <w:r w:rsidR="009D7E58">
      <w:fldChar w:fldCharType="separate"/>
    </w:r>
    <w:r w:rsidR="005A2830">
      <w:fldChar w:fldCharType="begin"/>
    </w:r>
    <w:r w:rsidR="005A2830">
      <w:instrText xml:space="preserve"> </w:instrText>
    </w:r>
    <w:r w:rsidR="005A2830">
      <w:instrText>INCLUDEPICTURE  "cid:image001.jpg@01D1577F.ACDF1820" \* MERGEFORMATINET</w:instrText>
    </w:r>
    <w:r w:rsidR="005A2830">
      <w:instrText xml:space="preserve"> </w:instrText>
    </w:r>
    <w:r w:rsidR="005A2830">
      <w:fldChar w:fldCharType="separate"/>
    </w:r>
    <w:r w:rsidR="005A283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conaculta.gob.mx/images/logo-secretaria-cultura.gif" style="width:161.25pt;height:54pt">
          <v:imagedata r:id="rId1" r:href="rId2"/>
        </v:shape>
      </w:pict>
    </w:r>
    <w:r w:rsidR="005A2830">
      <w:fldChar w:fldCharType="end"/>
    </w:r>
    <w:r w:rsidR="009D7E58">
      <w:fldChar w:fldCharType="end"/>
    </w:r>
    <w:r w:rsidR="00DF7891">
      <w:fldChar w:fldCharType="end"/>
    </w:r>
    <w:r w:rsidR="00EC1B70">
      <w:fldChar w:fldCharType="end"/>
    </w:r>
    <w:r w:rsidR="00D5644B">
      <w:fldChar w:fldCharType="end"/>
    </w:r>
    <w:r w:rsidR="00EC2E95">
      <w:fldChar w:fldCharType="end"/>
    </w:r>
    <w:r w:rsidR="00A70089">
      <w:fldChar w:fldCharType="end"/>
    </w:r>
    <w:r w:rsidR="00246657">
      <w:fldChar w:fldCharType="end"/>
    </w:r>
    <w:r w:rsidR="00531101">
      <w:fldChar w:fldCharType="end"/>
    </w:r>
    <w:r w:rsidR="002228C4">
      <w:fldChar w:fldCharType="end"/>
    </w:r>
    <w:r w:rsidR="00C34F24">
      <w:fldChar w:fldCharType="end"/>
    </w:r>
    <w:r w:rsidR="007E7BF9">
      <w:fldChar w:fldCharType="end"/>
    </w:r>
    <w:r w:rsidR="00BF6FF1">
      <w:fldChar w:fldCharType="end"/>
    </w:r>
    <w:r w:rsidR="0042082C">
      <w:fldChar w:fldCharType="end"/>
    </w:r>
    <w:r w:rsidR="009D4B66">
      <w:fldChar w:fldCharType="end"/>
    </w:r>
    <w:r w:rsidR="00974023">
      <w:fldChar w:fldCharType="end"/>
    </w:r>
    <w:r w:rsidR="00DF5205">
      <w:fldChar w:fldCharType="end"/>
    </w:r>
    <w:r w:rsidR="002B736A">
      <w:fldChar w:fldCharType="end"/>
    </w:r>
    <w:r w:rsidR="009E4851">
      <w:fldChar w:fldCharType="end"/>
    </w:r>
    <w:r w:rsidR="00F04185">
      <w:fldChar w:fldCharType="end"/>
    </w:r>
    <w:r w:rsidR="00BE1254">
      <w:fldChar w:fldCharType="end"/>
    </w:r>
    <w:r w:rsidR="00B92764">
      <w:fldChar w:fldCharType="end"/>
    </w:r>
    <w:r w:rsidR="00095C23">
      <w:fldChar w:fldCharType="end"/>
    </w:r>
    <w:r w:rsidR="000F41C3">
      <w:fldChar w:fldCharType="end"/>
    </w:r>
    <w:r w:rsidR="00CD763E">
      <w:fldChar w:fldCharType="end"/>
    </w:r>
    <w:r w:rsidR="006B3130">
      <w:fldChar w:fldCharType="end"/>
    </w:r>
  </w:p>
  <w:p w:rsidR="007B65EE" w:rsidRDefault="007B65EE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  <w:p w:rsidR="00B32981" w:rsidRPr="00594893" w:rsidRDefault="00B32981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95"/>
    <w:multiLevelType w:val="hybridMultilevel"/>
    <w:tmpl w:val="16565CF8"/>
    <w:lvl w:ilvl="0" w:tplc="5088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CCB"/>
    <w:multiLevelType w:val="hybridMultilevel"/>
    <w:tmpl w:val="EE16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2EC"/>
    <w:multiLevelType w:val="hybridMultilevel"/>
    <w:tmpl w:val="390E3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59"/>
    <w:multiLevelType w:val="hybridMultilevel"/>
    <w:tmpl w:val="78FCD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B86"/>
    <w:multiLevelType w:val="hybridMultilevel"/>
    <w:tmpl w:val="A170DC9C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C1C2645"/>
    <w:multiLevelType w:val="hybridMultilevel"/>
    <w:tmpl w:val="BA4445DA"/>
    <w:lvl w:ilvl="0" w:tplc="345027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F">
      <w:start w:val="1"/>
      <w:numFmt w:val="decimal"/>
      <w:lvlText w:val="%2."/>
      <w:lvlJc w:val="left"/>
      <w:pPr>
        <w:ind w:left="1211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452AC">
      <w:start w:val="1"/>
      <w:numFmt w:val="lowerRoman"/>
      <w:lvlText w:val="%3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108CBC">
      <w:start w:val="1"/>
      <w:numFmt w:val="decimal"/>
      <w:lvlText w:val="%4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78413A">
      <w:start w:val="1"/>
      <w:numFmt w:val="lowerLetter"/>
      <w:lvlText w:val="%5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16FEBE">
      <w:start w:val="1"/>
      <w:numFmt w:val="lowerRoman"/>
      <w:lvlText w:val="%6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1AE432">
      <w:start w:val="1"/>
      <w:numFmt w:val="decimal"/>
      <w:lvlText w:val="%7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CC6A20">
      <w:start w:val="1"/>
      <w:numFmt w:val="lowerLetter"/>
      <w:lvlText w:val="%8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74C1DC">
      <w:start w:val="1"/>
      <w:numFmt w:val="lowerRoman"/>
      <w:lvlText w:val="%9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2A3A5A"/>
    <w:multiLevelType w:val="hybridMultilevel"/>
    <w:tmpl w:val="14160B58"/>
    <w:lvl w:ilvl="0" w:tplc="4A66B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148A"/>
    <w:multiLevelType w:val="hybridMultilevel"/>
    <w:tmpl w:val="0526D758"/>
    <w:lvl w:ilvl="0" w:tplc="3914F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B1158"/>
    <w:multiLevelType w:val="hybridMultilevel"/>
    <w:tmpl w:val="BADE5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557E"/>
    <w:multiLevelType w:val="hybridMultilevel"/>
    <w:tmpl w:val="0DA02DE0"/>
    <w:lvl w:ilvl="0" w:tplc="F0A22E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0B72A7"/>
    <w:multiLevelType w:val="hybridMultilevel"/>
    <w:tmpl w:val="66BCBE4C"/>
    <w:lvl w:ilvl="0" w:tplc="ED0ED93A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6C4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A6E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C14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7006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CC23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0AC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8D1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27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FC74C6"/>
    <w:multiLevelType w:val="hybridMultilevel"/>
    <w:tmpl w:val="1EEE0A50"/>
    <w:lvl w:ilvl="0" w:tplc="476695E4">
      <w:start w:val="1"/>
      <w:numFmt w:val="lowerLetter"/>
      <w:lvlText w:val="%1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46EFE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E8D4F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67D46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260D12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B84A3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00106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D64CAE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38D36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1B224E"/>
    <w:multiLevelType w:val="hybridMultilevel"/>
    <w:tmpl w:val="7EC246EA"/>
    <w:lvl w:ilvl="0" w:tplc="080A000F">
      <w:start w:val="1"/>
      <w:numFmt w:val="decimal"/>
      <w:lvlText w:val="%1."/>
      <w:lvlJc w:val="left"/>
      <w:pPr>
        <w:ind w:left="749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46EFE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E8D4F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67D46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260D12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B84A3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00106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D64CAE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38D36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F44D00"/>
    <w:multiLevelType w:val="hybridMultilevel"/>
    <w:tmpl w:val="41280C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B2C09"/>
    <w:multiLevelType w:val="hybridMultilevel"/>
    <w:tmpl w:val="FED6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5946"/>
    <w:multiLevelType w:val="hybridMultilevel"/>
    <w:tmpl w:val="ECFAE3AC"/>
    <w:lvl w:ilvl="0" w:tplc="F030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E065D"/>
    <w:multiLevelType w:val="hybridMultilevel"/>
    <w:tmpl w:val="912A8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5F37"/>
    <w:multiLevelType w:val="hybridMultilevel"/>
    <w:tmpl w:val="230A829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5A1275"/>
    <w:multiLevelType w:val="hybridMultilevel"/>
    <w:tmpl w:val="AEDEE740"/>
    <w:lvl w:ilvl="0" w:tplc="080A000F">
      <w:start w:val="1"/>
      <w:numFmt w:val="decimal"/>
      <w:lvlText w:val="%1."/>
      <w:lvlJc w:val="left"/>
      <w:pPr>
        <w:ind w:left="749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46EFE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E8D4F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67D46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260D12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B84A3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00106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D64CAE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38D36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5D64C8"/>
    <w:multiLevelType w:val="hybridMultilevel"/>
    <w:tmpl w:val="5B1480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16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11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29"/>
    <w:rsid w:val="00087CD9"/>
    <w:rsid w:val="00093AA2"/>
    <w:rsid w:val="00095C23"/>
    <w:rsid w:val="000B3BAC"/>
    <w:rsid w:val="000D4859"/>
    <w:rsid w:val="000F043B"/>
    <w:rsid w:val="000F41C3"/>
    <w:rsid w:val="00100595"/>
    <w:rsid w:val="00104576"/>
    <w:rsid w:val="00107190"/>
    <w:rsid w:val="00114A03"/>
    <w:rsid w:val="00117538"/>
    <w:rsid w:val="001257FE"/>
    <w:rsid w:val="00151CF5"/>
    <w:rsid w:val="0018097E"/>
    <w:rsid w:val="002228C4"/>
    <w:rsid w:val="00246657"/>
    <w:rsid w:val="00292D59"/>
    <w:rsid w:val="002B736A"/>
    <w:rsid w:val="002D353D"/>
    <w:rsid w:val="00321B1D"/>
    <w:rsid w:val="003537A9"/>
    <w:rsid w:val="003A5538"/>
    <w:rsid w:val="003B31F0"/>
    <w:rsid w:val="003D70CF"/>
    <w:rsid w:val="003E66D6"/>
    <w:rsid w:val="00406259"/>
    <w:rsid w:val="00412F15"/>
    <w:rsid w:val="0042082C"/>
    <w:rsid w:val="00425614"/>
    <w:rsid w:val="00440AEA"/>
    <w:rsid w:val="00447F0E"/>
    <w:rsid w:val="0049758C"/>
    <w:rsid w:val="004A3045"/>
    <w:rsid w:val="004E1B11"/>
    <w:rsid w:val="004E4729"/>
    <w:rsid w:val="004E4D8C"/>
    <w:rsid w:val="0051517E"/>
    <w:rsid w:val="005302E4"/>
    <w:rsid w:val="00531101"/>
    <w:rsid w:val="005352CC"/>
    <w:rsid w:val="005579CC"/>
    <w:rsid w:val="005845E3"/>
    <w:rsid w:val="00592BC5"/>
    <w:rsid w:val="005A2830"/>
    <w:rsid w:val="005B24DC"/>
    <w:rsid w:val="005D56CA"/>
    <w:rsid w:val="005F4316"/>
    <w:rsid w:val="00606A5C"/>
    <w:rsid w:val="006265B9"/>
    <w:rsid w:val="00635135"/>
    <w:rsid w:val="00635963"/>
    <w:rsid w:val="006547E6"/>
    <w:rsid w:val="00671FD7"/>
    <w:rsid w:val="006871C3"/>
    <w:rsid w:val="006B3130"/>
    <w:rsid w:val="006D0AD4"/>
    <w:rsid w:val="00705FC2"/>
    <w:rsid w:val="00740992"/>
    <w:rsid w:val="00745DCE"/>
    <w:rsid w:val="00754961"/>
    <w:rsid w:val="00774A7B"/>
    <w:rsid w:val="007A0047"/>
    <w:rsid w:val="007B65EE"/>
    <w:rsid w:val="007E7BF9"/>
    <w:rsid w:val="00881843"/>
    <w:rsid w:val="00893F92"/>
    <w:rsid w:val="008B4064"/>
    <w:rsid w:val="008B71E0"/>
    <w:rsid w:val="009256EB"/>
    <w:rsid w:val="0094343C"/>
    <w:rsid w:val="00950C38"/>
    <w:rsid w:val="00974023"/>
    <w:rsid w:val="009C3C8E"/>
    <w:rsid w:val="009D4B66"/>
    <w:rsid w:val="009D5D91"/>
    <w:rsid w:val="009D7E58"/>
    <w:rsid w:val="009E4851"/>
    <w:rsid w:val="009F42EF"/>
    <w:rsid w:val="009F7C81"/>
    <w:rsid w:val="00A5403A"/>
    <w:rsid w:val="00A70089"/>
    <w:rsid w:val="00A70DF4"/>
    <w:rsid w:val="00AA2EA8"/>
    <w:rsid w:val="00AC0A91"/>
    <w:rsid w:val="00AC2EE4"/>
    <w:rsid w:val="00B00069"/>
    <w:rsid w:val="00B30E34"/>
    <w:rsid w:val="00B32981"/>
    <w:rsid w:val="00B36808"/>
    <w:rsid w:val="00B92764"/>
    <w:rsid w:val="00BE1254"/>
    <w:rsid w:val="00BF6FF1"/>
    <w:rsid w:val="00C0047A"/>
    <w:rsid w:val="00C32B89"/>
    <w:rsid w:val="00C34F24"/>
    <w:rsid w:val="00C5396E"/>
    <w:rsid w:val="00C8221B"/>
    <w:rsid w:val="00C84E93"/>
    <w:rsid w:val="00C85BB0"/>
    <w:rsid w:val="00CB7967"/>
    <w:rsid w:val="00CD1B82"/>
    <w:rsid w:val="00CD763E"/>
    <w:rsid w:val="00CE09BD"/>
    <w:rsid w:val="00CF0495"/>
    <w:rsid w:val="00D21B31"/>
    <w:rsid w:val="00D26D17"/>
    <w:rsid w:val="00D353ED"/>
    <w:rsid w:val="00D52668"/>
    <w:rsid w:val="00D5644B"/>
    <w:rsid w:val="00D65FF2"/>
    <w:rsid w:val="00D90A9C"/>
    <w:rsid w:val="00DC067D"/>
    <w:rsid w:val="00DF1069"/>
    <w:rsid w:val="00DF5205"/>
    <w:rsid w:val="00DF7891"/>
    <w:rsid w:val="00E13FF5"/>
    <w:rsid w:val="00E15718"/>
    <w:rsid w:val="00E20107"/>
    <w:rsid w:val="00E569D2"/>
    <w:rsid w:val="00E81BEA"/>
    <w:rsid w:val="00EA6DCA"/>
    <w:rsid w:val="00EB431F"/>
    <w:rsid w:val="00EB5D93"/>
    <w:rsid w:val="00EB7555"/>
    <w:rsid w:val="00EC1B70"/>
    <w:rsid w:val="00EC2E95"/>
    <w:rsid w:val="00F0406F"/>
    <w:rsid w:val="00F04185"/>
    <w:rsid w:val="00F11532"/>
    <w:rsid w:val="00F305C3"/>
    <w:rsid w:val="00F36B5E"/>
    <w:rsid w:val="00F91B1F"/>
    <w:rsid w:val="00F922FE"/>
    <w:rsid w:val="00FA0DD7"/>
    <w:rsid w:val="00FD0BF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7BFF4"/>
  <w15:chartTrackingRefBased/>
  <w15:docId w15:val="{5A4A1749-452E-4DE5-82C4-75C9A45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FD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E47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130"/>
  </w:style>
  <w:style w:type="paragraph" w:styleId="Piedepgina">
    <w:name w:val="footer"/>
    <w:basedOn w:val="Normal"/>
    <w:link w:val="Piedepgina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30"/>
  </w:style>
  <w:style w:type="paragraph" w:styleId="NormalWeb">
    <w:name w:val="Normal (Web)"/>
    <w:basedOn w:val="Normal"/>
    <w:uiPriority w:val="99"/>
    <w:semiHidden/>
    <w:unhideWhenUsed/>
    <w:rsid w:val="00C53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link w:val="TextoCar"/>
    <w:rsid w:val="00CF0495"/>
    <w:pPr>
      <w:spacing w:after="60" w:line="240" w:lineRule="auto"/>
      <w:ind w:firstLine="284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Car">
    <w:name w:val="Texto Car"/>
    <w:link w:val="Texto"/>
    <w:locked/>
    <w:rsid w:val="00CF0495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77F.ACDF1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FD5F-AB51-4E6A-A96C-DCA82F44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Zenón Martinez Ramirez</dc:creator>
  <cp:keywords/>
  <dc:description/>
  <cp:lastModifiedBy>Zenón Martinez Ramirez</cp:lastModifiedBy>
  <cp:revision>14</cp:revision>
  <cp:lastPrinted>2016-08-05T19:45:00Z</cp:lastPrinted>
  <dcterms:created xsi:type="dcterms:W3CDTF">2016-08-04T22:56:00Z</dcterms:created>
  <dcterms:modified xsi:type="dcterms:W3CDTF">2018-05-10T19:50:00Z</dcterms:modified>
</cp:coreProperties>
</file>